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6236" w:right="0" w:firstLine="0"/>
        <w:jc w:val="left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Приложение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6236" w:right="0" w:firstLine="0"/>
        <w:jc w:val="left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6236" w:right="0" w:firstLine="0"/>
        <w:jc w:val="left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УТВЕРЖДЕНО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6236" w:right="0" w:firstLine="0"/>
        <w:jc w:val="left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6236" w:right="0" w:firstLine="0"/>
        <w:jc w:val="left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решением</w:t>
      </w:r>
      <w:r>
        <w:rPr>
          <w:color w:val="000000"/>
          <w:highlight w:val="none"/>
        </w:rPr>
        <w:t xml:space="preserve"> </w:t>
      </w:r>
      <w:r>
        <w:rPr>
          <w:color w:val="000000"/>
          <w:highlight w:val="none"/>
        </w:rPr>
        <w:t xml:space="preserve">Думы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6236" w:right="0" w:firstLine="0"/>
        <w:jc w:val="left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Артемовского г</w:t>
      </w:r>
      <w:r>
        <w:rPr>
          <w:color w:val="000000"/>
          <w:highlight w:val="none"/>
        </w:rPr>
        <w:t xml:space="preserve">ородского округа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6236" w:right="0" w:firstLine="0"/>
        <w:jc w:val="left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от                             № 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firstLine="709"/>
        <w:jc w:val="center"/>
        <w:spacing w:after="0" w:line="240" w:lineRule="auto"/>
        <w:widowControl w:val="off"/>
        <w:rPr>
          <w:color w:val="000000"/>
          <w:highlight w:val="none"/>
        </w:rPr>
      </w:pPr>
      <w:r>
        <w:rPr>
          <w:b/>
          <w:bCs/>
          <w:color w:val="000000"/>
          <w:highlight w:val="none"/>
        </w:rPr>
        <w:t xml:space="preserve">ПОЛОЖЕНИЕ</w:t>
      </w:r>
      <w:r>
        <w:rPr>
          <w:color w:val="000000"/>
          <w:highlight w:val="none"/>
        </w:rPr>
        <w:t xml:space="preserve">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firstLine="709"/>
        <w:jc w:val="center"/>
        <w:spacing w:after="0" w:line="240" w:lineRule="auto"/>
        <w:widowControl w:val="off"/>
        <w:rPr>
          <w:color w:val="000000"/>
          <w:highlight w:val="none"/>
        </w:rPr>
      </w:pPr>
      <w:r>
        <w:rPr>
          <w:b/>
          <w:bCs/>
          <w:color w:val="000000"/>
          <w:highlight w:val="none"/>
        </w:rPr>
        <w:t xml:space="preserve">о самообложении граждан в Артемовском городском округе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firstLine="709"/>
        <w:jc w:val="center"/>
        <w:spacing w:after="0" w:line="24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color w:val="000000"/>
          <w:highlight w:val="none"/>
        </w:rPr>
      </w:pPr>
      <w:r>
        <w:rPr>
          <w:b/>
          <w:bCs/>
          <w:color w:val="000000"/>
          <w:highlight w:val="none"/>
        </w:rPr>
        <w:t xml:space="preserve">1 .Общие положения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1</w:t>
      </w:r>
      <w:r>
        <w:rPr>
          <w:color w:val="000000"/>
          <w:highlight w:val="none"/>
        </w:rPr>
        <w:t xml:space="preserve">.1. Настоящее Положение определяет порядок введения самообложения граждан на территории Артемовского городского округа, населенного пункта или части территории населенного пункта Артемовского городского округа и использование средств самообложения граждан.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1.2. Вопросы введения и использования средств самообложения граждан решаются на местном референдуме, а в случаях, предусмотренных пунктами 1 и 2 части 1 статьи 45 </w:t>
      </w:r>
      <w:r>
        <w:rPr>
          <w:color w:val="000000"/>
        </w:rPr>
        <w:t xml:space="preserve">Федерального закона от 20.03.2025 № 33-ФЗ «Об общих принц</w:t>
      </w:r>
      <w:r>
        <w:rPr>
          <w:color w:val="000000"/>
        </w:rPr>
        <w:t xml:space="preserve">ипах организации местного самоуправления в единой системе публичной власти»</w:t>
      </w:r>
      <w:r>
        <w:rPr>
          <w:color w:val="000000"/>
        </w:rPr>
        <w:t xml:space="preserve">, на сходе граждан.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1.3. Под средствами самообложения граждан понимаются разовые платежи граждан, осуществляемые для решения конкретных вопросов непосредственного обеспечения жизнедеятельности населения.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1.4. Плательщиками разового платежа являются жители, достигшие 18-летнего возраста, п</w:t>
      </w:r>
      <w:r>
        <w:rPr>
          <w:color w:val="000000"/>
          <w:highlight w:val="none"/>
        </w:rPr>
        <w:t xml:space="preserve">роживающие на территории Артемовского городского округа, населенного пункта или части территории населенного пункта Артемовского городского округа, независимо от их участия в местном референдуме (сходе граждан) и отношения, выраженного ими при голосовании.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auto"/>
          <w:highlight w:val="none"/>
        </w:rPr>
        <w:t xml:space="preserve">1.5. Размер пл</w:t>
      </w:r>
      <w:r>
        <w:rPr>
          <w:color w:val="auto"/>
          <w:highlight w:val="none"/>
        </w:rPr>
        <w:t xml:space="preserve">атежей по самообложению граждан устанавливается в абсолютной величине, равной для всех жителей Артемовского городского округа, населенного пункта или части территории населенного пункта Артемовского городского округа, за исключением отдельных категорий гра</w:t>
      </w:r>
      <w:r>
        <w:rPr>
          <w:color w:val="auto"/>
          <w:highlight w:val="none"/>
        </w:rPr>
        <w:t xml:space="preserve">ждан, численность которых не может превышать 30 процентов от общего числа жителей Артемовского городского округа, населенного пункта или части территории населенного пункта Артемовского городского округа, и для которых размер платежей может быть уменьшен. 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auto"/>
          <w:highlight w:val="none"/>
        </w:rPr>
        <w:t xml:space="preserve">Категории граждан, для которых размер разового платежа может б</w:t>
      </w:r>
      <w:r>
        <w:rPr>
          <w:color w:val="auto"/>
          <w:highlight w:val="none"/>
        </w:rPr>
        <w:t xml:space="preserve">ыть уменьшен, а также размер уменьшенного платежа утверждаются на местном референдуме (сходе граждан) по вопросу введения самообложения граждан.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b/>
          <w:bCs/>
          <w:color w:val="000000"/>
          <w:highlight w:val="none"/>
        </w:rPr>
      </w:pPr>
      <w:r>
        <w:rPr>
          <w:b/>
          <w:bCs/>
          <w:color w:val="000000"/>
          <w:highlight w:val="none"/>
        </w:rPr>
        <w:t xml:space="preserve">2. Порядок введения самообложения граждан</w:t>
      </w:r>
      <w:r>
        <w:rPr>
          <w:b/>
          <w:bCs/>
          <w:color w:val="000000"/>
          <w:highlight w:val="none"/>
        </w:rPr>
      </w:r>
      <w:r>
        <w:rPr>
          <w:b/>
          <w:bCs/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2.1. Подготовка и проведение м</w:t>
      </w:r>
      <w:r>
        <w:rPr>
          <w:color w:val="000000"/>
          <w:highlight w:val="none"/>
        </w:rPr>
        <w:t xml:space="preserve">естного референдума (схода граждан) на территории Артемовского городского округа, населенного пункта или части территории населенного пункта Артемовского городского округа по вопросу введения самообложения граждан осуществляется в соответствии</w:t>
      </w:r>
      <w:r>
        <w:rPr>
          <w:color w:val="000000"/>
          <w:highlight w:val="none"/>
        </w:rPr>
        <w:t xml:space="preserve"> с порядками, установленными федеральными законами, законами Приморского края, Уставом Артемовского городского округа Приморского края</w:t>
      </w:r>
      <w:r>
        <w:rPr>
          <w:color w:val="000000"/>
          <w:highlight w:val="none"/>
        </w:rPr>
        <w:t xml:space="preserve">.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  <w:t xml:space="preserve">2.2. Вопрос, предлагаемый к вынесению на местный референдум (сход граждан), должен содержать: 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1) </w:t>
      </w:r>
      <w:r>
        <w:rPr>
          <w:color w:val="000000"/>
          <w:highlight w:val="none"/>
        </w:rPr>
        <w:t xml:space="preserve">конкретный </w:t>
      </w:r>
      <w:r>
        <w:rPr>
          <w:color w:val="000000"/>
          <w:highlight w:val="none"/>
        </w:rPr>
        <w:t xml:space="preserve">вопрос (конкретные вопросы) </w:t>
      </w:r>
      <w:r>
        <w:rPr>
          <w:color w:val="000000"/>
          <w:highlight w:val="none"/>
        </w:rPr>
        <w:t xml:space="preserve">непосредственного обеспечения жизнедеятельности населения</w:t>
      </w:r>
      <w:r>
        <w:rPr>
          <w:color w:val="000000"/>
          <w:highlight w:val="none"/>
        </w:rPr>
        <w:t xml:space="preserve">, для решения которого (которых) предлагается введение самообложения граждан;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</w:rPr>
      </w:pPr>
      <w:r>
        <w:rPr>
          <w:color w:val="000000"/>
          <w:highlight w:val="none"/>
        </w:rPr>
        <w:t xml:space="preserve">2) размер платежей по самообложению граждан в абсолютной величине </w:t>
      </w:r>
      <w:r>
        <w:rPr>
          <w:color w:val="000000"/>
          <w:highlight w:val="none"/>
        </w:rPr>
        <w:t xml:space="preserve">равной для всех жителей Артемовского городского округа, населенного пункта или части территории населенного пункта Артемовского городского округа</w:t>
      </w:r>
      <w:r>
        <w:rPr>
          <w:color w:val="000000"/>
          <w:highlight w:val="none"/>
        </w:rPr>
        <w:t xml:space="preserve">;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000000"/>
          <w:highlight w:val="none"/>
        </w:rPr>
        <w:t xml:space="preserve">3) категории граждан, численность которых не может превышать </w:t>
      </w:r>
      <w:r>
        <w:rPr>
          <w:color w:val="auto"/>
          <w:highlight w:val="none"/>
        </w:rPr>
        <w:t xml:space="preserve">3</w:t>
      </w:r>
      <w:r>
        <w:rPr>
          <w:color w:val="auto"/>
          <w:highlight w:val="none"/>
        </w:rPr>
        <w:t xml:space="preserve">0</w:t>
      </w:r>
      <w:r>
        <w:rPr>
          <w:color w:val="auto"/>
          <w:highlight w:val="none"/>
        </w:rPr>
        <w:t xml:space="preserve"> процентов от общего числа жителей Артемовского городского округа, населенного пункта или части территории населенного пункта Артемовского городского округа, для которых размер платежей может быть уменьшен;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auto"/>
          <w:highlight w:val="none"/>
        </w:rPr>
        <w:t xml:space="preserve">4) размер уменьшенных платежей по самообложению в абсолютной величине для отдельных категорий граждан;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auto"/>
          <w:highlight w:val="none"/>
        </w:rPr>
        <w:t xml:space="preserve">5) </w:t>
      </w:r>
      <w:r>
        <w:rPr>
          <w:color w:val="auto"/>
          <w:highlight w:val="none"/>
        </w:rPr>
        <w:t xml:space="preserve">срок внесения платежей по самообложению граждан;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auto"/>
          <w:highlight w:val="none"/>
        </w:rPr>
        <w:t xml:space="preserve">6) границы введения самообложения граждан: территория Артемовского городского округа, населенный пункт или часть территории населенного пункта Артемовского городского округа.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auto"/>
          <w:highlight w:val="none"/>
        </w:rPr>
        <w:t xml:space="preserve">2</w:t>
      </w:r>
      <w:r>
        <w:rPr>
          <w:color w:val="auto"/>
          <w:highlight w:val="none"/>
        </w:rPr>
        <w:t xml:space="preserve">.3. Для проведения местного референдума (схода граждан) по инициативе, выдвинутой гражданами, инициативная группа к ходатайству о проведении референдума (к подписному листу для проведения схода граждан) прикладывает следующие документы произвольной формы: 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</w:rPr>
      </w:pPr>
      <w:r>
        <w:rPr>
          <w:color w:val="auto"/>
          <w:highlight w:val="none"/>
        </w:rPr>
        <w:t xml:space="preserve">1) п</w:t>
      </w:r>
      <w:r>
        <w:rPr>
          <w:color w:val="auto"/>
          <w:highlight w:val="none"/>
        </w:rPr>
        <w:t xml:space="preserve">лановую смету расходов на реализацию мероприятий для решения конкретного вопроса непосредственного обеспечения жизнедеятельности населения</w:t>
      </w:r>
      <w:r>
        <w:rPr>
          <w:color w:val="auto"/>
          <w:highlight w:val="none"/>
        </w:rPr>
        <w:t xml:space="preserve"> Артемовского городского округа;</w:t>
      </w: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2) плановую смету расходов, необходимых для организации и проведения местного референдума (схода граждан);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3) сведения об общем числе граждан - жителей Артемовского городского округа, населенного пункта или части территории населенного пункта Артемовского городского округа, которые могут быть плат</w:t>
      </w:r>
      <w:r>
        <w:rPr>
          <w:color w:val="auto"/>
          <w:highlight w:val="none"/>
        </w:rPr>
        <w:t xml:space="preserve">ельщиками платежей по самообложению;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4) сведения о численности категории граждан, для которых размер платежей предполагается уменьшить;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5) плановую смету расходов на организацию сбора средств самообложения граждан;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6) сведения о планируемом объеме и сроках поступлений средств самообложения граждан в бюджет Артемовского городского округа.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2.4. Финансирование расходов, связанных с подготовкой и проведением местного референдума (схода граждан) осуществляется за счет средств бюджета Артемовского городского округа.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2.5. </w:t>
      </w:r>
      <w:r>
        <w:rPr>
          <w:color w:val="auto"/>
          <w:highlight w:val="none"/>
        </w:rPr>
        <w:t xml:space="preserve">Решение, принятое на местном референдуме (сходе граждан) подлежит официальному опубликованию и обязательному исполнению на территории Артемовского городского округа, населенного пункта или части территории населенного пункта Артемовского городского округа.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b/>
          <w:bCs/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color w:val="auto"/>
          <w:highlight w:val="none"/>
        </w:rPr>
        <w:t xml:space="preserve">3. Порядок сбора средств самообложения граждан</w:t>
      </w:r>
      <w:r>
        <w:rPr>
          <w:b/>
          <w:bCs/>
          <w:color w:val="auto"/>
          <w:highlight w:val="none"/>
          <w14:ligatures w14:val="none"/>
        </w:rPr>
      </w:r>
      <w:r>
        <w:rPr>
          <w:b/>
          <w:bCs/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3.1. Платежи перечисляются гражданами</w:t>
      </w:r>
      <w:r>
        <w:rPr>
          <w:color w:val="auto"/>
          <w:highlight w:val="none"/>
        </w:rPr>
        <w:t xml:space="preserve"> на основании информационного сообщения, содержащего сумму платежа, реквизиты для перечисления платежа, информацию о порядке и сроке перечисления платежа, размещенного на официальном сайте Артемовского городского округа в сети Интернет и опубликованного </w:t>
      </w:r>
      <w:r>
        <w:rPr>
          <w:color w:val="000000"/>
        </w:rPr>
        <w:t xml:space="preserve">в газете</w:t>
      </w:r>
      <w:r>
        <w:rPr>
          <w:color w:val="000000"/>
        </w:rPr>
        <w:t xml:space="preserve"> </w:t>
      </w:r>
      <w:r>
        <w:rPr>
          <w:color w:val="000000"/>
        </w:rPr>
        <w:t xml:space="preserve">«Выбор»</w:t>
      </w:r>
      <w:r>
        <w:rPr>
          <w:color w:val="000000"/>
        </w:rPr>
        <w:t xml:space="preserve">.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3.2. Оплата платежей </w:t>
      </w:r>
      <w:r>
        <w:rPr>
          <w:color w:val="000000"/>
          <w:highlight w:val="none"/>
        </w:rPr>
        <w:t xml:space="preserve">гражданами производится посредством безналичного расчета, путем перечисления денежных средств через расчетные организации, имеющие право на осуществление расчетов по поручению физических лиц, на осуществление почтовых переводов, или иным законным способом.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3.3. Средства самообложения граждан в полном объеме перечисляются в бюджет Артемовского городского округа в срок, установленный в принятом  </w:t>
      </w:r>
      <w:r>
        <w:rPr>
          <w:color w:val="auto"/>
          <w:highlight w:val="none"/>
        </w:rPr>
        <w:t xml:space="preserve">на местном референдуме (сходе граждан) решении о введении самообложения </w:t>
      </w:r>
      <w:r>
        <w:rPr>
          <w:color w:val="auto"/>
          <w:highlight w:val="none"/>
        </w:rPr>
        <w:t xml:space="preserve">граждан.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3.4</w:t>
      </w:r>
      <w:r>
        <w:rPr>
          <w:color w:val="auto"/>
          <w:highlight w:val="none"/>
        </w:rPr>
        <w:t xml:space="preserve">. Доходы от средств самообложения граждан подлежат зачислению в бюджет Артемовск</w:t>
      </w:r>
      <w:r>
        <w:rPr>
          <w:color w:val="auto"/>
          <w:highlight w:val="none"/>
        </w:rPr>
        <w:t xml:space="preserve">ого городского округа по соответствующему коду бюджетной классификации, установленному приказом министерства финансов Российской Федерации об утверждении кодов (перечней кодов) бюджетной классификации Российской Федерации на соответствующий финансовый год.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b/>
          <w:bCs/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color w:val="auto"/>
          <w:highlight w:val="none"/>
        </w:rPr>
        <w:t xml:space="preserve">4. Порядок использования средств самообложения граждан</w:t>
      </w:r>
      <w:r>
        <w:rPr>
          <w:b/>
          <w:bCs/>
          <w:color w:val="auto"/>
          <w:highlight w:val="none"/>
          <w14:ligatures w14:val="none"/>
        </w:rPr>
      </w:r>
      <w:r>
        <w:rPr>
          <w:b/>
          <w:bCs/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4.1.</w:t>
      </w:r>
      <w:r>
        <w:rPr>
          <w:color w:val="auto"/>
          <w:highlight w:val="none"/>
        </w:rPr>
        <w:t xml:space="preserve"> Органы местного самоуправления Артемовского городского в пределах своих полномочий, установленных Уставом, обеспечивают исполнение принятого на местном референдуме (сходе граждан) решения о самообложении граждан.</w:t>
      </w:r>
      <w:r/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4.2. </w:t>
      </w:r>
      <w:r>
        <w:rPr>
          <w:color w:val="auto"/>
          <w:highlight w:val="none"/>
        </w:rPr>
        <w:t xml:space="preserve">Денежные средства, собранные в порядке самообложения и поступившие в бюджет Артемовского городского округа расходуются главными распорядителями средств местного бюджета (по соответствующему направлению деятельности) на решение конкретных вопросов (конк</w:t>
      </w:r>
      <w:r>
        <w:rPr>
          <w:color w:val="auto"/>
          <w:highlight w:val="none"/>
        </w:rPr>
        <w:t xml:space="preserve">ретного вопроса) непосредственного обеспечения жизнедеятельности населения, предусмотренных решением, принятым на местном референдуме (сходе граждан) с учетом требований Бюджетного </w:t>
      </w:r>
      <w:r>
        <w:rPr>
          <w:highlight w:val="none"/>
        </w:rPr>
        <w:t xml:space="preserve">кодекса</w:t>
      </w:r>
      <w:r>
        <w:rPr>
          <w:color w:val="auto"/>
          <w:highlight w:val="none"/>
        </w:rPr>
        <w:t xml:space="preserve"> Российской Федерации, Федерального </w:t>
      </w:r>
      <w:r>
        <w:rPr>
          <w:highlight w:val="none"/>
        </w:rPr>
        <w:t xml:space="preserve">закона</w:t>
      </w:r>
      <w:r>
        <w:rPr>
          <w:color w:val="auto"/>
          <w:highlight w:val="none"/>
        </w:rPr>
        <w:t xml:space="preserve">                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4.3. Средства самообложения граждан, не использованные в текущем году, остаются на счете бюджета Артемовского городского округа и расходуются в очередном финансовом году на те же цели.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4.4. Отчет о расходовании средств самообложения граждан подлежит размещению на официальном сайте администрации Артемовского городского округа </w:t>
      </w:r>
      <w:r>
        <w:rPr>
          <w:color w:val="auto"/>
          <w:highlight w:val="none"/>
        </w:rPr>
        <w:t xml:space="preserve">в сети Интернет  и опубликованию </w:t>
      </w:r>
      <w:r>
        <w:rPr>
          <w:color w:val="000000"/>
        </w:rPr>
        <w:t xml:space="preserve">в газете</w:t>
      </w:r>
      <w:r>
        <w:rPr>
          <w:color w:val="000000"/>
        </w:rPr>
        <w:t xml:space="preserve"> </w:t>
      </w:r>
      <w:r>
        <w:rPr>
          <w:color w:val="000000"/>
        </w:rPr>
        <w:t xml:space="preserve">«Выбор»</w:t>
      </w:r>
      <w:r>
        <w:rPr>
          <w:color w:val="auto"/>
          <w:highlight w:val="none"/>
        </w:rPr>
        <w:t xml:space="preserve">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b/>
          <w:bCs/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color w:val="auto"/>
          <w:highlight w:val="none"/>
        </w:rPr>
        <w:t xml:space="preserve">5. Контроль за использованием средств самообложения граждан</w:t>
      </w:r>
      <w:r>
        <w:rPr>
          <w:b/>
          <w:bCs/>
          <w:color w:val="auto"/>
          <w:highlight w:val="none"/>
          <w14:ligatures w14:val="none"/>
        </w:rPr>
      </w:r>
      <w:r>
        <w:rPr>
          <w:b/>
          <w:bCs/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Контроль за использованием средств самообложения граждан осуществляется органами муниципального финансового контроля в соответствии с действующим законодательством, муниципальными правовыми актами в рамках их полномочий.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</w:r>
      <w:r>
        <w:rPr>
          <w:color w:val="auto"/>
          <w:highlight w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240" w:lineRule="auto"/>
        <w:widowControl w:val="off"/>
        <w:rPr>
          <w:b/>
          <w:bCs/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color w:val="auto"/>
          <w:highlight w:val="none"/>
        </w:rPr>
      </w:r>
      <w:r>
        <w:rPr>
          <w:b/>
          <w:bCs/>
          <w:color w:val="auto"/>
          <w:highlight w:val="none"/>
        </w:rPr>
        <w:t xml:space="preserve">6. Ответственность</w:t>
      </w:r>
      <w:r>
        <w:rPr>
          <w:b/>
          <w:bCs/>
          <w:color w:val="auto"/>
          <w:highlight w:val="none"/>
          <w14:ligatures w14:val="none"/>
        </w:rPr>
      </w:r>
      <w:r>
        <w:rPr>
          <w:b/>
          <w:bCs/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6.1. </w:t>
      </w:r>
      <w:r>
        <w:rPr>
          <w:color w:val="auto"/>
          <w:highlight w:val="none"/>
        </w:rPr>
        <w:t xml:space="preserve">За неисполнение решения о самообложении граждан, принятого на местном референдуме (сходе граждан), граждане несут ответственность в соответствии с действующим законодательством.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 w:line="360" w:lineRule="auto"/>
        <w:widowControl w:val="off"/>
        <w:rPr>
          <w:color w:val="auto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highlight w:val="none"/>
        </w:rPr>
        <w:t xml:space="preserve">6.2. Средства самообложения граждан, невнесенные </w:t>
      </w:r>
      <w:r>
        <w:rPr>
          <w:color w:val="000000"/>
          <w:highlight w:val="none"/>
        </w:rPr>
        <w:t xml:space="preserve">в установленный срок,</w:t>
      </w:r>
      <w:r>
        <w:rPr>
          <w:color w:val="auto"/>
          <w:highlight w:val="none"/>
        </w:rPr>
        <w:t xml:space="preserve"> подлежат взысканию в порядке, установленном законодательством для взыскания невнесенных в срок неналоговых платежей.</w:t>
      </w:r>
      <w:r>
        <w:rPr>
          <w:color w:val="auto"/>
          <w:highlight w:val="none"/>
          <w14:ligatures w14:val="none"/>
        </w:rPr>
      </w:r>
      <w:r>
        <w:rPr>
          <w:color w:val="auto"/>
          <w:highlight w:val="none"/>
          <w14:ligatures w14:val="none"/>
        </w:rPr>
      </w:r>
    </w:p>
    <w:p>
      <w:pPr>
        <w:pStyle w:val="864"/>
        <w:jc w:val="both"/>
        <w:spacing w:after="0" w:line="240" w:lineRule="auto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jc w:val="center"/>
    </w:pPr>
    <w:fldSimple w:instr="PAGE \* MERGEFORMAT">
      <w:r>
        <w:t xml:space="preserve">2</w:t>
      </w:r>
    </w:fldSimple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0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2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4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6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8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0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2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4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6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9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55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8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4"/>
    <w:next w:val="864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4"/>
    <w:next w:val="864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4"/>
    <w:next w:val="864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4"/>
    <w:next w:val="864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4"/>
    <w:next w:val="864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4"/>
    <w:next w:val="864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4"/>
    <w:next w:val="864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4"/>
    <w:next w:val="864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4"/>
    <w:next w:val="864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4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4"/>
    <w:next w:val="864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link w:val="706"/>
    <w:uiPriority w:val="10"/>
    <w:rPr>
      <w:sz w:val="48"/>
      <w:szCs w:val="48"/>
    </w:rPr>
  </w:style>
  <w:style w:type="paragraph" w:styleId="708">
    <w:name w:val="Subtitle"/>
    <w:basedOn w:val="864"/>
    <w:next w:val="864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link w:val="708"/>
    <w:uiPriority w:val="11"/>
    <w:rPr>
      <w:sz w:val="24"/>
      <w:szCs w:val="24"/>
    </w:rPr>
  </w:style>
  <w:style w:type="paragraph" w:styleId="710">
    <w:name w:val="Quote"/>
    <w:basedOn w:val="864"/>
    <w:next w:val="864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4"/>
    <w:next w:val="864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link w:val="714"/>
    <w:uiPriority w:val="99"/>
  </w:style>
  <w:style w:type="paragraph" w:styleId="716">
    <w:name w:val="Footer"/>
    <w:basedOn w:val="864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Footer Char"/>
    <w:link w:val="716"/>
    <w:uiPriority w:val="99"/>
  </w:style>
  <w:style w:type="paragraph" w:styleId="718">
    <w:name w:val="Caption"/>
    <w:basedOn w:val="864"/>
    <w:next w:val="864"/>
    <w:link w:val="7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link w:val="718"/>
    <w:uiPriority w:val="35"/>
    <w:rPr>
      <w:b/>
      <w:bCs/>
      <w:color w:val="4f81bd" w:themeColor="accent1"/>
      <w:sz w:val="18"/>
      <w:szCs w:val="18"/>
    </w:rPr>
  </w:style>
  <w:style w:type="table" w:styleId="72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86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>
    <w:name w:val="Footnote Text Char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86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>
    <w:name w:val="Endnote Text Char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864"/>
    <w:next w:val="864"/>
    <w:uiPriority w:val="39"/>
    <w:unhideWhenUsed/>
    <w:pPr>
      <w:ind w:left="0" w:right="0" w:firstLine="0"/>
      <w:spacing w:after="57"/>
    </w:pPr>
  </w:style>
  <w:style w:type="paragraph" w:styleId="854">
    <w:name w:val="toc 2"/>
    <w:basedOn w:val="864"/>
    <w:next w:val="864"/>
    <w:uiPriority w:val="39"/>
    <w:unhideWhenUsed/>
    <w:pPr>
      <w:ind w:left="283" w:right="0" w:firstLine="0"/>
      <w:spacing w:after="57"/>
    </w:pPr>
  </w:style>
  <w:style w:type="paragraph" w:styleId="855">
    <w:name w:val="toc 3"/>
    <w:basedOn w:val="864"/>
    <w:next w:val="864"/>
    <w:uiPriority w:val="39"/>
    <w:unhideWhenUsed/>
    <w:pPr>
      <w:ind w:left="567" w:right="0" w:firstLine="0"/>
      <w:spacing w:after="57"/>
    </w:pPr>
  </w:style>
  <w:style w:type="paragraph" w:styleId="856">
    <w:name w:val="toc 4"/>
    <w:basedOn w:val="864"/>
    <w:next w:val="864"/>
    <w:uiPriority w:val="39"/>
    <w:unhideWhenUsed/>
    <w:pPr>
      <w:ind w:left="850" w:right="0" w:firstLine="0"/>
      <w:spacing w:after="57"/>
    </w:pPr>
  </w:style>
  <w:style w:type="paragraph" w:styleId="857">
    <w:name w:val="toc 5"/>
    <w:basedOn w:val="864"/>
    <w:next w:val="864"/>
    <w:uiPriority w:val="39"/>
    <w:unhideWhenUsed/>
    <w:pPr>
      <w:ind w:left="1134" w:right="0" w:firstLine="0"/>
      <w:spacing w:after="57"/>
    </w:pPr>
  </w:style>
  <w:style w:type="paragraph" w:styleId="858">
    <w:name w:val="toc 6"/>
    <w:basedOn w:val="864"/>
    <w:next w:val="864"/>
    <w:uiPriority w:val="39"/>
    <w:unhideWhenUsed/>
    <w:pPr>
      <w:ind w:left="1417" w:right="0" w:firstLine="0"/>
      <w:spacing w:after="57"/>
    </w:pPr>
  </w:style>
  <w:style w:type="paragraph" w:styleId="859">
    <w:name w:val="toc 7"/>
    <w:basedOn w:val="864"/>
    <w:next w:val="864"/>
    <w:uiPriority w:val="39"/>
    <w:unhideWhenUsed/>
    <w:pPr>
      <w:ind w:left="1701" w:right="0" w:firstLine="0"/>
      <w:spacing w:after="57"/>
    </w:pPr>
  </w:style>
  <w:style w:type="paragraph" w:styleId="860">
    <w:name w:val="toc 8"/>
    <w:basedOn w:val="864"/>
    <w:next w:val="864"/>
    <w:uiPriority w:val="39"/>
    <w:unhideWhenUsed/>
    <w:pPr>
      <w:ind w:left="1984" w:right="0" w:firstLine="0"/>
      <w:spacing w:after="57"/>
    </w:pPr>
  </w:style>
  <w:style w:type="paragraph" w:styleId="861">
    <w:name w:val="toc 9"/>
    <w:basedOn w:val="864"/>
    <w:next w:val="864"/>
    <w:uiPriority w:val="39"/>
    <w:unhideWhenUsed/>
    <w:pPr>
      <w:ind w:left="2268" w:right="0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864"/>
    <w:next w:val="864"/>
    <w:uiPriority w:val="99"/>
    <w:unhideWhenUsed/>
    <w:pPr>
      <w:spacing w:after="0" w:afterAutospacing="0"/>
    </w:pPr>
  </w:style>
  <w:style w:type="paragraph" w:styleId="864" w:default="1">
    <w:name w:val="Normal"/>
    <w:next w:val="864"/>
    <w:link w:val="864"/>
    <w:qFormat/>
    <w:pPr>
      <w:spacing w:after="200" w:line="276" w:lineRule="auto"/>
    </w:pPr>
    <w:rPr>
      <w:color w:val="000000"/>
      <w:sz w:val="24"/>
      <w:szCs w:val="24"/>
      <w:lang w:val="ru-RU" w:eastAsia="en-US" w:bidi="ar-SA"/>
    </w:rPr>
  </w:style>
  <w:style w:type="paragraph" w:styleId="865">
    <w:name w:val="Заголовок 2"/>
    <w:basedOn w:val="864"/>
    <w:next w:val="864"/>
    <w:link w:val="876"/>
    <w:qFormat/>
    <w:pPr>
      <w:jc w:val="center"/>
      <w:keepNext/>
      <w:spacing w:after="0" w:line="360" w:lineRule="auto"/>
      <w:outlineLvl w:val="1"/>
    </w:pPr>
    <w:rPr>
      <w:rFonts w:eastAsia="Times New Roman"/>
      <w:b/>
      <w:color w:val="000000"/>
      <w:spacing w:val="70"/>
      <w:sz w:val="20"/>
      <w:szCs w:val="20"/>
      <w:lang w:val="en-US" w:eastAsia="ru-RU"/>
    </w:rPr>
  </w:style>
  <w:style w:type="paragraph" w:styleId="866">
    <w:name w:val="Заголовок 3"/>
    <w:basedOn w:val="864"/>
    <w:next w:val="864"/>
    <w:link w:val="877"/>
    <w:qFormat/>
    <w:pPr>
      <w:jc w:val="center"/>
      <w:keepNext/>
      <w:spacing w:after="0" w:line="360" w:lineRule="auto"/>
      <w:outlineLvl w:val="2"/>
    </w:pPr>
    <w:rPr>
      <w:rFonts w:eastAsia="Times New Roman"/>
      <w:color w:val="000000"/>
      <w:spacing w:val="70"/>
      <w:sz w:val="20"/>
      <w:szCs w:val="20"/>
      <w:lang w:val="en-US" w:eastAsia="ru-RU"/>
    </w:rPr>
  </w:style>
  <w:style w:type="character" w:styleId="867">
    <w:name w:val="Основной шрифт абзаца"/>
    <w:next w:val="867"/>
    <w:link w:val="864"/>
    <w:uiPriority w:val="1"/>
    <w:semiHidden/>
    <w:unhideWhenUsed/>
  </w:style>
  <w:style w:type="table" w:styleId="868">
    <w:name w:val="Обычная таблица"/>
    <w:next w:val="868"/>
    <w:link w:val="864"/>
    <w:uiPriority w:val="99"/>
    <w:semiHidden/>
    <w:unhideWhenUsed/>
    <w:tblPr/>
  </w:style>
  <w:style w:type="numbering" w:styleId="869">
    <w:name w:val="Нет списка"/>
    <w:next w:val="869"/>
    <w:link w:val="864"/>
    <w:uiPriority w:val="99"/>
    <w:semiHidden/>
    <w:unhideWhenUsed/>
  </w:style>
  <w:style w:type="paragraph" w:styleId="870">
    <w:name w:val="ConsPlusNonformat"/>
    <w:next w:val="870"/>
    <w:link w:val="864"/>
    <w:uiPriority w:val="99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871">
    <w:name w:val="ConsPlusTitle"/>
    <w:next w:val="871"/>
    <w:link w:val="864"/>
    <w:uiPriority w:val="99"/>
    <w:pPr>
      <w:widowControl w:val="off"/>
    </w:pPr>
    <w:rPr>
      <w:rFonts w:eastAsia="Times New Roman"/>
      <w:b/>
      <w:bCs/>
      <w:sz w:val="24"/>
      <w:szCs w:val="24"/>
      <w:lang w:val="ru-RU" w:eastAsia="ru-RU" w:bidi="ar-SA"/>
    </w:rPr>
  </w:style>
  <w:style w:type="paragraph" w:styleId="872">
    <w:name w:val="ConsPlusCell"/>
    <w:next w:val="872"/>
    <w:link w:val="864"/>
    <w:uiPriority w:val="99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73">
    <w:name w:val="ConsPlusNormal"/>
    <w:next w:val="873"/>
    <w:link w:val="864"/>
    <w:rPr>
      <w:rFonts w:ascii="Arial" w:hAnsi="Arial" w:cs="Arial"/>
      <w:lang w:val="ru-RU" w:eastAsia="en-US" w:bidi="ar-SA"/>
    </w:rPr>
  </w:style>
  <w:style w:type="table" w:styleId="874">
    <w:name w:val="Сетка таблицы"/>
    <w:basedOn w:val="868"/>
    <w:next w:val="874"/>
    <w:link w:val="864"/>
    <w:uiPriority w:val="59"/>
    <w:pPr>
      <w:spacing w:after="0" w:line="240" w:lineRule="auto"/>
    </w:pPr>
    <w:rPr>
      <w:rFonts w:ascii="Calibri" w:hAnsi="Calibri" w:eastAsia="Times New Roman" w:cs="Times New Roman"/>
      <w:color w:val="000000"/>
      <w:sz w:val="22"/>
      <w:szCs w:val="22"/>
      <w:lang w:eastAsia="ru-RU"/>
    </w:rPr>
    <w:tblPr/>
  </w:style>
  <w:style w:type="character" w:styleId="875">
    <w:name w:val="Строгий"/>
    <w:next w:val="875"/>
    <w:link w:val="864"/>
    <w:uiPriority w:val="22"/>
    <w:qFormat/>
    <w:rPr>
      <w:b/>
      <w:bCs/>
    </w:rPr>
  </w:style>
  <w:style w:type="character" w:styleId="876">
    <w:name w:val="Заголовок 2 Знак"/>
    <w:next w:val="876"/>
    <w:link w:val="865"/>
    <w:rPr>
      <w:rFonts w:eastAsia="Times New Roman"/>
      <w:b/>
      <w:color w:val="000000"/>
      <w:spacing w:val="70"/>
      <w:szCs w:val="20"/>
      <w:lang w:eastAsia="ru-RU"/>
    </w:rPr>
  </w:style>
  <w:style w:type="character" w:styleId="877">
    <w:name w:val="Заголовок 3 Знак"/>
    <w:next w:val="877"/>
    <w:link w:val="866"/>
    <w:rPr>
      <w:rFonts w:eastAsia="Times New Roman"/>
      <w:color w:val="000000"/>
      <w:spacing w:val="70"/>
      <w:szCs w:val="20"/>
      <w:lang w:eastAsia="ru-RU"/>
    </w:rPr>
  </w:style>
  <w:style w:type="paragraph" w:styleId="878">
    <w:name w:val="Верхний колонтитул"/>
    <w:basedOn w:val="864"/>
    <w:next w:val="878"/>
    <w:link w:val="8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9">
    <w:name w:val="Верхний колонтитул Знак"/>
    <w:basedOn w:val="867"/>
    <w:next w:val="879"/>
    <w:link w:val="878"/>
    <w:uiPriority w:val="99"/>
  </w:style>
  <w:style w:type="paragraph" w:styleId="880">
    <w:name w:val="Нижний колонтитул"/>
    <w:basedOn w:val="864"/>
    <w:next w:val="880"/>
    <w:link w:val="8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1">
    <w:name w:val="Нижний колонтитул Знак"/>
    <w:basedOn w:val="867"/>
    <w:next w:val="881"/>
    <w:link w:val="880"/>
    <w:uiPriority w:val="99"/>
  </w:style>
  <w:style w:type="paragraph" w:styleId="882">
    <w:name w:val="Текст выноски"/>
    <w:basedOn w:val="864"/>
    <w:next w:val="882"/>
    <w:link w:val="883"/>
    <w:uiPriority w:val="99"/>
    <w:semiHidden/>
    <w:unhideWhenUsed/>
    <w:pPr>
      <w:spacing w:after="0" w:line="240" w:lineRule="auto"/>
    </w:pPr>
    <w:rPr>
      <w:rFonts w:ascii="Tahoma" w:hAnsi="Tahoma"/>
      <w:color w:val="000000"/>
      <w:sz w:val="16"/>
      <w:szCs w:val="16"/>
      <w:lang w:val="en-US" w:eastAsia="en-US"/>
    </w:rPr>
  </w:style>
  <w:style w:type="character" w:styleId="883">
    <w:name w:val="Текст выноски Знак"/>
    <w:next w:val="883"/>
    <w:link w:val="882"/>
    <w:uiPriority w:val="99"/>
    <w:semiHidden/>
    <w:rPr>
      <w:rFonts w:ascii="Tahoma" w:hAnsi="Tahoma" w:cs="Tahoma"/>
      <w:sz w:val="16"/>
      <w:szCs w:val="16"/>
    </w:rPr>
  </w:style>
  <w:style w:type="character" w:styleId="884" w:default="1">
    <w:name w:val="Default Paragraph Font"/>
    <w:uiPriority w:val="1"/>
    <w:semiHidden/>
    <w:unhideWhenUsed/>
  </w:style>
  <w:style w:type="numbering" w:styleId="885" w:default="1">
    <w:name w:val="No List"/>
    <w:uiPriority w:val="99"/>
    <w:semiHidden/>
    <w:unhideWhenUsed/>
  </w:style>
  <w:style w:type="table" w:styleId="8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r7-office/2024.4.2.721</Application>
  <Company>Финансовое управление адм. Артемовского гор. округа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Аноним</cp:lastModifiedBy>
  <cp:revision>47</cp:revision>
  <dcterms:created xsi:type="dcterms:W3CDTF">2023-11-10T05:38:00Z</dcterms:created>
  <dcterms:modified xsi:type="dcterms:W3CDTF">2026-02-20T06:56:51Z</dcterms:modified>
  <cp:version>1048576</cp:version>
</cp:coreProperties>
</file>